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31FE" w14:textId="40EC41D0" w:rsidR="00410B9B" w:rsidRDefault="00410B9B" w:rsidP="00410B9B">
      <w:pPr>
        <w:pStyle w:val="Title1"/>
      </w:pPr>
      <w:r>
        <w:t>Class 4: Polymerase Chain Reaction Diagnoses Human diseases</w:t>
      </w:r>
      <w:r>
        <w:t xml:space="preserve"> (Part 2</w:t>
      </w:r>
      <w:r>
        <w:t>)</w:t>
      </w:r>
      <w:bookmarkStart w:id="0" w:name="_GoBack"/>
      <w:bookmarkEnd w:id="0"/>
    </w:p>
    <w:p w14:paraId="63E6E484" w14:textId="77777777" w:rsidR="00410B9B" w:rsidRDefault="00410B9B" w:rsidP="00410B9B">
      <w:pPr>
        <w:pStyle w:val="Heading21"/>
      </w:pPr>
      <w:r>
        <w:t>Reading assignment</w:t>
      </w:r>
    </w:p>
    <w:p w14:paraId="2BD996E9" w14:textId="1729583F" w:rsidR="00410B9B" w:rsidRDefault="00410B9B" w:rsidP="00410B9B">
      <w:pPr>
        <w:pStyle w:val="Heading21"/>
        <w:numPr>
          <w:ilvl w:val="0"/>
          <w:numId w:val="1"/>
        </w:numPr>
      </w:pPr>
      <w:r>
        <w:t>Suzuki et al (2001)</w:t>
      </w:r>
    </w:p>
    <w:p w14:paraId="557F4541" w14:textId="77777777" w:rsidR="00410B9B" w:rsidRDefault="00410B9B" w:rsidP="00410B9B">
      <w:pPr>
        <w:pStyle w:val="Heading21"/>
      </w:pPr>
      <w:r>
        <w:t>Classroom activity (time limit: 45 minutes)</w:t>
      </w:r>
    </w:p>
    <w:p w14:paraId="61869A30" w14:textId="23BF3576" w:rsidR="00410B9B" w:rsidRDefault="00882F6E" w:rsidP="00882F6E">
      <w:pPr>
        <w:pStyle w:val="Numbered"/>
        <w:numPr>
          <w:ilvl w:val="0"/>
          <w:numId w:val="2"/>
        </w:numPr>
        <w:spacing w:after="2160"/>
      </w:pPr>
      <w:r>
        <w:t>Why is MRD monitoring necessary?</w:t>
      </w:r>
    </w:p>
    <w:p w14:paraId="7972C642" w14:textId="77777777" w:rsidR="00882F6E" w:rsidRDefault="00882F6E" w:rsidP="00882F6E">
      <w:pPr>
        <w:pStyle w:val="Numbered"/>
        <w:spacing w:after="2160"/>
        <w:ind w:left="720"/>
      </w:pPr>
    </w:p>
    <w:p w14:paraId="39B56AEE" w14:textId="0A54CE2E" w:rsidR="00410B9B" w:rsidRDefault="00882F6E" w:rsidP="00410B9B">
      <w:pPr>
        <w:pStyle w:val="Numbered"/>
        <w:numPr>
          <w:ilvl w:val="0"/>
          <w:numId w:val="2"/>
        </w:numPr>
        <w:spacing w:after="2160"/>
      </w:pPr>
      <w:r>
        <w:t xml:space="preserve">Explain how </w:t>
      </w:r>
      <w:r w:rsidR="00BD3D07">
        <w:t>the authors designed</w:t>
      </w:r>
      <w:r>
        <w:t xml:space="preserve"> the</w:t>
      </w:r>
      <w:r w:rsidR="0014560E">
        <w:t xml:space="preserve"> oligonucleotide primers</w:t>
      </w:r>
    </w:p>
    <w:p w14:paraId="1E01C854" w14:textId="77777777" w:rsidR="0014560E" w:rsidRDefault="0014560E" w:rsidP="0014560E">
      <w:pPr>
        <w:pStyle w:val="Numbered"/>
        <w:spacing w:after="2160"/>
        <w:ind w:left="720"/>
      </w:pPr>
    </w:p>
    <w:p w14:paraId="456F082C" w14:textId="093B37C6" w:rsidR="0014560E" w:rsidRDefault="0014560E" w:rsidP="0014560E">
      <w:pPr>
        <w:pStyle w:val="Numbered"/>
        <w:numPr>
          <w:ilvl w:val="0"/>
          <w:numId w:val="2"/>
        </w:numPr>
        <w:spacing w:after="2160"/>
      </w:pPr>
      <w:r>
        <w:t xml:space="preserve">How did the author demonstrate that nested PCR is more sensitive than the standard </w:t>
      </w:r>
      <w:proofErr w:type="gramStart"/>
      <w:r>
        <w:t>PCR</w:t>
      </w:r>
      <w:proofErr w:type="gramEnd"/>
    </w:p>
    <w:p w14:paraId="3FD75A7B" w14:textId="77777777" w:rsidR="0014560E" w:rsidRDefault="0014560E" w:rsidP="0014560E">
      <w:pPr>
        <w:pStyle w:val="Numbered"/>
        <w:spacing w:after="2160"/>
      </w:pPr>
    </w:p>
    <w:p w14:paraId="43B6F953" w14:textId="7E07CB94" w:rsidR="0014560E" w:rsidRDefault="0014560E" w:rsidP="0014560E">
      <w:pPr>
        <w:pStyle w:val="Numbered"/>
        <w:spacing w:after="2160"/>
      </w:pPr>
      <w:r>
        <w:t xml:space="preserve">4. Explain Figure 5. How did they use RT-PCR monitor patients with </w:t>
      </w:r>
      <w:proofErr w:type="gramStart"/>
      <w:r>
        <w:t>APL.</w:t>
      </w:r>
      <w:proofErr w:type="gramEnd"/>
    </w:p>
    <w:p w14:paraId="3962E39B" w14:textId="77777777" w:rsidR="0014560E" w:rsidRDefault="0014560E" w:rsidP="0014560E">
      <w:pPr>
        <w:pStyle w:val="Numbered"/>
        <w:spacing w:after="2160"/>
      </w:pPr>
    </w:p>
    <w:p w14:paraId="7FD3F8CF" w14:textId="77777777" w:rsidR="00410B9B" w:rsidRDefault="00410B9B" w:rsidP="00410B9B">
      <w:pPr>
        <w:pStyle w:val="Numbered"/>
        <w:spacing w:after="2160"/>
      </w:pPr>
    </w:p>
    <w:p w14:paraId="01FD20ED" w14:textId="77777777" w:rsidR="00410B9B" w:rsidRDefault="00410B9B" w:rsidP="00410B9B">
      <w:pPr>
        <w:pStyle w:val="Numbered"/>
        <w:spacing w:after="2160"/>
      </w:pPr>
    </w:p>
    <w:p w14:paraId="66799399" w14:textId="77777777" w:rsidR="00FF5959" w:rsidRDefault="00FF5959"/>
    <w:sectPr w:rsidR="00FF5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F2B3C" w14:textId="77777777" w:rsidR="00AC15EE" w:rsidRDefault="00AC15EE" w:rsidP="0014560E">
      <w:r>
        <w:separator/>
      </w:r>
    </w:p>
  </w:endnote>
  <w:endnote w:type="continuationSeparator" w:id="0">
    <w:p w14:paraId="512BAAF7" w14:textId="77777777" w:rsidR="00AC15EE" w:rsidRDefault="00AC15EE" w:rsidP="0014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2E5D6" w14:textId="77777777" w:rsidR="00AA793E" w:rsidRDefault="00AC15EE">
    <w:pPr>
      <w:pStyle w:val="HeaderFooterA"/>
      <w:tabs>
        <w:tab w:val="clear" w:pos="9360"/>
        <w:tab w:val="right" w:pos="9340"/>
      </w:tabs>
      <w:jc w:val="center"/>
      <w:rPr>
        <w:rFonts w:ascii="Times New Roman" w:eastAsia="Times New Roman" w:hAnsi="Times New Roman"/>
        <w:color w:val="auto"/>
        <w:lang w:bidi="x-none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9D55" w14:textId="77777777" w:rsidR="00AA793E" w:rsidRDefault="00AC15EE">
    <w:pPr>
      <w:pStyle w:val="HeaderFooterA"/>
      <w:tabs>
        <w:tab w:val="clear" w:pos="9360"/>
        <w:tab w:val="right" w:pos="9340"/>
      </w:tabs>
      <w:jc w:val="center"/>
      <w:rPr>
        <w:rFonts w:ascii="Times New Roman" w:eastAsia="Times New Roman" w:hAnsi="Times New Roman"/>
        <w:color w:val="auto"/>
        <w:lang w:bidi="x-none"/>
      </w:rPr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7C246" w14:textId="77777777" w:rsidR="00AC15EE" w:rsidRDefault="00AC15EE" w:rsidP="0014560E">
      <w:r>
        <w:separator/>
      </w:r>
    </w:p>
  </w:footnote>
  <w:footnote w:type="continuationSeparator" w:id="0">
    <w:p w14:paraId="559B9C59" w14:textId="77777777" w:rsidR="00AC15EE" w:rsidRDefault="00AC15EE" w:rsidP="0014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E429" w14:textId="77777777" w:rsidR="00AA793E" w:rsidRDefault="00AC15EE">
    <w:pPr>
      <w:pStyle w:val="HeaderFooterA"/>
      <w:tabs>
        <w:tab w:val="clear" w:pos="9360"/>
        <w:tab w:val="right" w:pos="9340"/>
      </w:tabs>
    </w:pPr>
  </w:p>
  <w:p w14:paraId="7611DE59" w14:textId="77777777" w:rsidR="003C3A70" w:rsidRDefault="00AC15EE" w:rsidP="003C3A70">
    <w:pPr>
      <w:pStyle w:val="HeaderFooterA"/>
      <w:tabs>
        <w:tab w:val="clear" w:pos="9360"/>
        <w:tab w:val="right" w:pos="9340"/>
      </w:tabs>
      <w:jc w:val="right"/>
      <w:rPr>
        <w:rFonts w:ascii="Times New Roman" w:eastAsia="Times New Roman" w:hAnsi="Times New Roman"/>
        <w:color w:val="auto"/>
        <w:lang w:bidi="x-none"/>
      </w:rPr>
    </w:pPr>
    <w:r>
      <w:t>BIOL 426/626: Approaches to Molecular Biology</w:t>
    </w:r>
    <w:r>
      <w:tab/>
    </w:r>
  </w:p>
  <w:p w14:paraId="268BEAEE" w14:textId="77777777" w:rsidR="003C3A70" w:rsidRDefault="00AC15EE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B90E0" w14:textId="77777777" w:rsidR="0014560E" w:rsidRDefault="0014560E" w:rsidP="0014560E">
    <w:pPr>
      <w:pStyle w:val="HeaderFooterA"/>
      <w:tabs>
        <w:tab w:val="clear" w:pos="9360"/>
        <w:tab w:val="right" w:pos="9340"/>
      </w:tabs>
      <w:jc w:val="right"/>
      <w:rPr>
        <w:rFonts w:ascii="Times New Roman" w:eastAsia="Times New Roman" w:hAnsi="Times New Roman"/>
        <w:color w:val="auto"/>
        <w:lang w:bidi="x-none"/>
      </w:rPr>
    </w:pPr>
    <w:r>
      <w:t>BIOL 426/626: Approaches to Molecular Biology</w:t>
    </w:r>
    <w:r>
      <w:tab/>
    </w:r>
  </w:p>
  <w:p w14:paraId="4FC2C522" w14:textId="057839BC" w:rsidR="00AA793E" w:rsidRDefault="00AC15EE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B464" w14:textId="77777777" w:rsidR="00AA793E" w:rsidRDefault="00AC15EE">
    <w:pPr>
      <w:pStyle w:val="HeaderFooterA"/>
      <w:tabs>
        <w:tab w:val="clear" w:pos="9360"/>
        <w:tab w:val="right" w:pos="9340"/>
      </w:tabs>
      <w:jc w:val="right"/>
      <w:rPr>
        <w:rFonts w:ascii="Times New Roman" w:eastAsia="Times New Roman" w:hAnsi="Times New Roman"/>
        <w:color w:val="auto"/>
        <w:lang w:bidi="x-none"/>
      </w:rPr>
    </w:pPr>
    <w:r>
      <w:t xml:space="preserve"> BIOL 426/626: Approaches to Molecular Biology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841F9"/>
    <w:multiLevelType w:val="hybridMultilevel"/>
    <w:tmpl w:val="63B8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8563C"/>
    <w:multiLevelType w:val="hybridMultilevel"/>
    <w:tmpl w:val="8658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9B"/>
    <w:rsid w:val="0004299B"/>
    <w:rsid w:val="0014560E"/>
    <w:rsid w:val="00153205"/>
    <w:rsid w:val="00410B9B"/>
    <w:rsid w:val="004F1EFF"/>
    <w:rsid w:val="005B0299"/>
    <w:rsid w:val="005F142C"/>
    <w:rsid w:val="00610E49"/>
    <w:rsid w:val="006F45AE"/>
    <w:rsid w:val="0084005E"/>
    <w:rsid w:val="00882F6E"/>
    <w:rsid w:val="00972411"/>
    <w:rsid w:val="00A770F5"/>
    <w:rsid w:val="00AC15EE"/>
    <w:rsid w:val="00BC629A"/>
    <w:rsid w:val="00BD3D07"/>
    <w:rsid w:val="00CB781B"/>
    <w:rsid w:val="00D753DB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C15E"/>
  <w15:chartTrackingRefBased/>
  <w15:docId w15:val="{3D808062-47EC-D445-99BF-D540F322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color w:val="000000" w:themeColor="text1"/>
        <w:sz w:val="24"/>
        <w:szCs w:val="24"/>
        <w:lang w:val="en-US" w:eastAsia="zh-CN" w:bidi="ar-SA"/>
      </w:rPr>
    </w:rPrDefault>
    <w:pPrDefault>
      <w:pPr>
        <w:spacing w:before="100" w:beforeAutospacing="1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0B9B"/>
    <w:pPr>
      <w:spacing w:before="0" w:beforeAutospacing="0" w:line="240" w:lineRule="auto"/>
    </w:pPr>
    <w:rPr>
      <w:rFonts w:eastAsia="Times New Roman" w:cs="Times New Roman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B0299"/>
    <w:pPr>
      <w:numPr>
        <w:ilvl w:val="1"/>
      </w:numPr>
      <w:spacing w:after="160"/>
    </w:pPr>
    <w:rPr>
      <w:b/>
      <w:bCs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B0299"/>
    <w:rPr>
      <w:b/>
      <w:bCs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B0299"/>
    <w:rPr>
      <w:rFonts w:ascii="Times New Roman" w:hAnsi="Times New Roman"/>
      <w:b/>
      <w:bCs/>
      <w:i w:val="0"/>
      <w:iCs w:val="0"/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753DB"/>
    <w:pPr>
      <w:keepNext/>
      <w:spacing w:after="200"/>
      <w:jc w:val="center"/>
    </w:pPr>
    <w:rPr>
      <w:b/>
      <w:iCs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BC629A"/>
    <w:pPr>
      <w:jc w:val="both"/>
    </w:pPr>
  </w:style>
  <w:style w:type="paragraph" w:customStyle="1" w:styleId="Heading21">
    <w:name w:val="Heading 21"/>
    <w:next w:val="Normal"/>
    <w:qFormat/>
    <w:rsid w:val="00410B9B"/>
    <w:pPr>
      <w:keepNext/>
      <w:spacing w:before="120" w:beforeAutospacing="0" w:after="120" w:line="240" w:lineRule="exact"/>
      <w:outlineLvl w:val="1"/>
    </w:pPr>
    <w:rPr>
      <w:rFonts w:ascii="Helvetica" w:eastAsia="ヒラギノ角ゴ Pro W3" w:hAnsi="Helvetica" w:cs="Times New Roman"/>
      <w:b/>
      <w:color w:val="000000"/>
      <w:szCs w:val="20"/>
    </w:rPr>
  </w:style>
  <w:style w:type="paragraph" w:customStyle="1" w:styleId="HeaderFooterA">
    <w:name w:val="Header &amp; Footer A"/>
    <w:rsid w:val="00410B9B"/>
    <w:pPr>
      <w:tabs>
        <w:tab w:val="right" w:pos="9360"/>
      </w:tabs>
      <w:spacing w:before="0" w:beforeAutospacing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Title1">
    <w:name w:val="Title1"/>
    <w:next w:val="Normal"/>
    <w:autoRedefine/>
    <w:rsid w:val="00410B9B"/>
    <w:pPr>
      <w:keepNext/>
      <w:spacing w:before="240" w:beforeAutospacing="0" w:after="240" w:line="320" w:lineRule="exact"/>
      <w:outlineLvl w:val="0"/>
    </w:pPr>
    <w:rPr>
      <w:rFonts w:ascii="Helvetica" w:eastAsia="ヒラギノ角ゴ Pro W3" w:hAnsi="Helvetica" w:cs="Times New Roman"/>
      <w:b/>
      <w:i/>
      <w:color w:val="000000"/>
      <w:sz w:val="32"/>
      <w:szCs w:val="20"/>
    </w:rPr>
  </w:style>
  <w:style w:type="paragraph" w:customStyle="1" w:styleId="Numbered">
    <w:name w:val="Numbered"/>
    <w:rsid w:val="00410B9B"/>
    <w:pPr>
      <w:spacing w:before="120" w:beforeAutospacing="0" w:after="120" w:line="240" w:lineRule="exact"/>
      <w:jc w:val="both"/>
    </w:pPr>
    <w:rPr>
      <w:rFonts w:ascii="Helvetica" w:eastAsia="ヒラギノ角ゴ Pro W3" w:hAnsi="Helvetica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5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60E"/>
    <w:rPr>
      <w:rFonts w:eastAsia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cao</dc:creator>
  <cp:keywords/>
  <dc:description/>
  <cp:lastModifiedBy>ling cao</cp:lastModifiedBy>
  <cp:revision>1</cp:revision>
  <dcterms:created xsi:type="dcterms:W3CDTF">2018-09-12T18:07:00Z</dcterms:created>
  <dcterms:modified xsi:type="dcterms:W3CDTF">2018-09-13T02:16:00Z</dcterms:modified>
</cp:coreProperties>
</file>